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1AC" w:rsidRPr="00BD01AC" w:rsidRDefault="00BD01AC" w:rsidP="00BD01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bookmarkStart w:id="0" w:name="_GoBack"/>
      <w:r w:rsidRPr="00BD01A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Checkliste für das Redigieren von Texten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909"/>
        <w:gridCol w:w="5232"/>
      </w:tblGrid>
      <w:tr w:rsidR="00BD01AC" w:rsidRPr="00BD01AC" w:rsidTr="00BD01AC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bookmarkEnd w:id="0"/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Geprüft</w:t>
            </w:r>
          </w:p>
        </w:tc>
        <w:tc>
          <w:tcPr>
            <w:tcW w:w="2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>Aufgabe</w:t>
            </w:r>
          </w:p>
        </w:tc>
        <w:tc>
          <w:tcPr>
            <w:tcW w:w="5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de-DE"/>
              </w:rPr>
              <w:t xml:space="preserve">Beispiele / Tools </w:t>
            </w: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Einwandfreie Sprache, richtige Zeichensetzung, korrekte Groß- und Kleinschreibung.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de-DE"/>
              </w:rPr>
              <w:t>„Der Gefangene floh!“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vs. „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de-DE"/>
              </w:rPr>
              <w:t>Der gefangene Floh.“</w:t>
            </w:r>
          </w:p>
          <w:p w:rsidR="00BD01AC" w:rsidRPr="00BD01AC" w:rsidRDefault="00BD01AC" w:rsidP="00BD01A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de-DE"/>
              </w:rPr>
              <w:t xml:space="preserve">„Lehrer sagen, Schüler haben es gut!“ 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vs. 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de-DE"/>
              </w:rPr>
              <w:t>„Lehrer, sagen Schüler, haben es gut.“</w:t>
            </w:r>
          </w:p>
          <w:p w:rsidR="00BD01AC" w:rsidRPr="00BD01AC" w:rsidRDefault="00BD01AC" w:rsidP="00BD01A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Ist die Semantik mangelfrei? </w:t>
            </w:r>
          </w:p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Den Begriff „Semantik“ kennt man auch aus der Informatik. Dort steht er für die Logik in Programmiersprachen. Ein semantischer Fehler kann zur Unterbrechung / Fehlfunktion des Programms führen.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Auf Textebene führen semantische Fehler u. U. zu Fehlinterpretationen, obwohl der Text syntaktisch richtig ist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  <w:t xml:space="preserve">: „Der Hobbysportler hat sich intensiv und lange auf den Sieg beim Marathon vorbereitet“. </w:t>
            </w:r>
          </w:p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Üblicherweise streben Hobbysportler keinen Sieg an, für sie gilt eher das Motto 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  <w:t>„dabei sein ist alles“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. Ebenso ist eine intensive und lange Vorbereitung wahrscheinlicher im Profi-Segment zu finden. </w:t>
            </w: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  <w:t xml:space="preserve">Dichte der Füllwörter: 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Sie blähen den Text auf. Man kann sie aus dem Text streichen, ohne dass die Aussage darunter leidet, der Stil aber gewinnt.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„Anscheinend, ausnahmslos, natürlich“ sind nur einige der Füllwörter, die Texte „aufblähen“. Infos dazu sind auf diesen Seiten zu finden:</w:t>
            </w:r>
          </w:p>
          <w:p w:rsidR="00BD01AC" w:rsidRPr="00BD01AC" w:rsidRDefault="00BD01AC" w:rsidP="00BD01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Liste der Füllwörter:  </w:t>
            </w:r>
            <w:hyperlink r:id="rId5" w:history="1">
              <w:r w:rsidRPr="00BD01A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de-DE"/>
                </w:rPr>
                <w:t>Füllwörter - Liste mit Wörtern, die du aus Texten streichen kannst (bildungssprache.net)</w:t>
              </w:r>
            </w:hyperlink>
          </w:p>
          <w:p w:rsidR="00BD01AC" w:rsidRPr="00BD01AC" w:rsidRDefault="00BD01AC" w:rsidP="00BD01A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Ein Test-Tool unter anderem für Füllwort-Dichte: </w:t>
            </w:r>
            <w:hyperlink r:id="rId6" w:history="1">
              <w:r w:rsidRPr="00BD01A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de-DE"/>
                </w:rPr>
                <w:t>Textanalyse Tool | Textprüfung - Schreibstil verbessern, Content optimieren (wortliga.de)</w:t>
              </w:r>
            </w:hyperlink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Sind die vorgegebenen Standards eingehalten?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Abhängig vom Medium erfolgt die Veröffentlichung 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  <w:t>unter Einhaltung bestimmter Vorgaben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(Standards). Diese sind bei einem Fachmagazin anders als bei einem Kinderbuch. Eine Webseite mit juristischen Informationen unterscheidet sich stilistisch von einem Instagram-Blog für neueste Modetrends. Beim Redigieren sind nicht nur das </w:t>
            </w:r>
            <w:r w:rsidRPr="00BD01AC"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  <w:t>Layout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, sondern auch der </w:t>
            </w:r>
            <w:r w:rsidRPr="00BD01AC">
              <w:rPr>
                <w:rFonts w:ascii="Times New Roman" w:eastAsia="Times New Roman" w:hAnsi="Times New Roman" w:cs="Times New Roman"/>
                <w:b/>
                <w:bCs/>
                <w:lang w:eastAsia="de-DE"/>
              </w:rPr>
              <w:t>Wiedererkennungswert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wichtige Größen. </w:t>
            </w: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Ist der Text fachlich richtig, sind die richtigen Quellen angeführt, die Zitationsregeln eingehalten?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Fachliche Aussagen müssen nachvollziehbar und korrekt wiedergegeben werden. Es ist zu empfehlen, dass bei schwierigen Themen ein Fachexperte beigezogen wird (Fachanwalt etc.).</w:t>
            </w:r>
          </w:p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Werden Webseiten redigiert, sind die Google Search Guidelines (2022) zu beachten. Der EAT – Standard der Suchmaschine steht für Expertise, </w:t>
            </w:r>
            <w:proofErr w:type="spellStart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Authoritativeness</w:t>
            </w:r>
            <w:proofErr w:type="spellEnd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und </w:t>
            </w:r>
            <w:proofErr w:type="spellStart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Trustworthiness</w:t>
            </w:r>
            <w:proofErr w:type="spellEnd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(Fachwissen, Autorität, Vertrauenswürdigkeit) und gibt derart gestalteten Seiten einen höheren Stellenwert bei der Suche, vor allem wenn </w:t>
            </w:r>
            <w:proofErr w:type="spellStart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Your</w:t>
            </w:r>
            <w:proofErr w:type="spellEnd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Money, </w:t>
            </w:r>
            <w:proofErr w:type="spellStart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Your</w:t>
            </w:r>
            <w:proofErr w:type="spellEnd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Life (YMYL) – Inhalte publiziert werden. </w:t>
            </w:r>
            <w:r w:rsidRPr="00BD01AC">
              <w:rPr>
                <w:rFonts w:ascii="Times New Roman" w:eastAsia="Times New Roman" w:hAnsi="Times New Roman" w:cs="Times New Roman"/>
                <w:lang w:val="en-US" w:eastAsia="de-DE"/>
              </w:rPr>
              <w:t xml:space="preserve">Info: </w:t>
            </w:r>
            <w:hyperlink r:id="rId7" w:history="1">
              <w:r w:rsidRPr="00BD01AC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de-DE"/>
                </w:rPr>
                <w:t>What Are EAT and YMYL: New Google Search Guidelines Acronyms (semrush.com)</w:t>
              </w:r>
            </w:hyperlink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Ist das Layout korrekt und wird der Text auf allen Endgeräten richtig dargestellt 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lastRenderedPageBreak/>
              <w:t xml:space="preserve">oder gibt es andere optische Mängel.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lastRenderedPageBreak/>
              <w:t xml:space="preserve">Der Trend zu mobilem Surfen ist ungebrochen steigend. Beim Layouten ist das mobile First-Prinzip zu beachten. 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lastRenderedPageBreak/>
              <w:t xml:space="preserve">Bilder sollten in unterschiedlichen Formaten beigestellt werden (neuer Standard: </w:t>
            </w:r>
            <w:proofErr w:type="spellStart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webPMB</w:t>
            </w:r>
            <w:proofErr w:type="spellEnd"/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).</w:t>
            </w:r>
          </w:p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Sowohl für den Druck als auch im Web sind gut lesbare Schriftarten zu wählen. </w:t>
            </w: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Prüfung auf juristische Fußangeln.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Auszuschließen sind Copyright-Verletzungen (Bild, Text, Ton) und Inhalte, die eine Abmahnung wegen Wettbewerbsverletzung (z. B. DSGVO-Verstoß) nach sich ziehen. Im Zweifelsfall ist juristischer Beistand einzuholen. </w:t>
            </w:r>
          </w:p>
        </w:tc>
      </w:tr>
      <w:tr w:rsidR="00BD01AC" w:rsidRPr="00BD01AC" w:rsidTr="00BD01AC"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Ist der Text geeignet, Leser zu begeistern und zu motivieren, sie zu informieren?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D01AC" w:rsidRPr="00BD01AC" w:rsidRDefault="00BD01AC" w:rsidP="00BD01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>Mehrmaliges Korrekturlesen durch andere, am besten uninformierte Personen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,</w:t>
            </w:r>
            <w:r w:rsidRPr="00BD01AC">
              <w:rPr>
                <w:rFonts w:ascii="Times New Roman" w:eastAsia="Times New Roman" w:hAnsi="Times New Roman" w:cs="Times New Roman"/>
                <w:lang w:eastAsia="de-DE"/>
              </w:rPr>
              <w:t xml:space="preserve"> kann bei der Entscheidung sehr helfen. </w:t>
            </w:r>
          </w:p>
        </w:tc>
      </w:tr>
    </w:tbl>
    <w:p w:rsidR="00111D47" w:rsidRDefault="00111D47"/>
    <w:sectPr w:rsidR="00111D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080"/>
    <w:multiLevelType w:val="multilevel"/>
    <w:tmpl w:val="068C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85BAB"/>
    <w:multiLevelType w:val="multilevel"/>
    <w:tmpl w:val="005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AC"/>
    <w:rsid w:val="00111D47"/>
    <w:rsid w:val="00B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5873"/>
  <w15:chartTrackingRefBased/>
  <w15:docId w15:val="{2D7FBB68-3CA9-4DCB-93C0-F544DD7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D0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BD01A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D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D0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mrush.com/blog/eat-and-ymyl-new-google-search-guidelines-acronyms-of-quality-content/?kw=&amp;cmp=DE_SRCH_DSA_Blog_EN&amp;label=dsa_pagefeed&amp;Network=g&amp;Device=c&amp;utm_content=622456704195&amp;kwid=dsa-1754979155885&amp;cmpid=18364820776&amp;agpid=145003186201&amp;BU=Core&amp;extid=54841402755&amp;adpos=&amp;gclid=CjwKCAjwm8WZBhBUEiwA178UnIyyzQAsecuzPpHv0deytOK-rboObPPxCXwuq7WTYkPnWnE2renGzRoC2z0QAv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tliga.de/textanalyse/" TargetMode="External"/><Relationship Id="rId5" Type="http://schemas.openxmlformats.org/officeDocument/2006/relationships/hyperlink" Target="https://bildungssprache.net/fuellwoerter-liste-wor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2022-11-17T07:51:00Z</dcterms:created>
  <dcterms:modified xsi:type="dcterms:W3CDTF">2022-11-17T07:52:00Z</dcterms:modified>
</cp:coreProperties>
</file>